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gridCol w:w="100"/>
      </w:tblGrid>
      <w:tr>
        <w:tc>
          <w:tcPr>
            <w:tcW w:type="pct" w:w="74%"/>
            <w:shd w:fill="FDEAE7" w:color="auto" w:val="clear"/>
            <w:tcMar>
              <w:top w:type="dxa" w:w="72"/>
              <w:left w:type="dxa" w:w="115"/>
              <w:bottom w:type="dxa" w:w="72"/>
              <w:right w:type="dxa" w:w="115"/>
            </w:tcMar>
            <w:vAlign w:val="top"/>
          </w:tcPr>
          <w:p>
            <w:pPr>
              <w:spacing w:after="140"/>
            </w:pPr>
            <w:r>
              <w:rPr>
                <w:b/>
                <w:bCs/>
                <w:color w:val="EC3013"/>
                <w:sz w:val="36"/>
                <w:szCs w:val="36"/>
              </w:rPr>
              <w:t xml:space="preserve">Assessment validation record</w:t>
            </w:r>
          </w:p>
          <w:p>
            <w:pPr>
              <w:spacing w:after="140"/>
            </w:pPr>
            <w:r>
              <w:rPr>
                <w:b/>
                <w:bCs/>
                <w:color w:val="201E1D"/>
                <w:sz w:val="22"/>
                <w:szCs w:val="22"/>
              </w:rPr>
              <w:t xml:space="preserve">CPCCCM2006 — Apply basic levelling procedures</w:t>
            </w:r>
          </w:p>
          <w:p>
            <w:pPr>
              <w:spacing w:after="140"/>
            </w:pPr>
            <w:r>
              <w:rPr>
                <w:b w:val="false"/>
                <w:bCs w:val="false"/>
                <w:color w:val="6B6560"/>
                <w:sz w:val="18"/>
                <w:szCs w:val="18"/>
              </w:rPr>
              <w:t xml:space="preserve">Sample RTO · Release 1</w:t>
            </w:r>
          </w:p>
        </w:tc>
        <w:tc>
          <w:tcPr>
            <w:tcW w:type="pct" w:w="26%"/>
            <w:shd w:fill="FDEAE7" w:color="auto" w:val="clear"/>
            <w:tcMar>
              <w:top w:type="dxa" w:w="72"/>
              <w:left w:type="dxa" w:w="115"/>
              <w:bottom w:type="dxa" w:w="72"/>
              <w:right w:type="dxa" w:w="115"/>
            </w:tcMar>
            <w:vAlign w:val="top"/>
          </w:tcPr>
          <w:p>
            <w:pPr>
              <w:spacing w:after="140"/>
              <w:jc w:val="center"/>
            </w:pPr>
            <w:r>
              <w:rPr>
                <w:b w:val="false"/>
                <w:bCs w:val="false"/>
                <w:color w:val="6B6560"/>
                <w:sz w:val="16"/>
                <w:szCs w:val="16"/>
              </w:rPr>
              <w:t xml:space="preserve">LOGO</w:t>
            </w:r>
          </w:p>
          <w:p>
            <w:pPr>
              <w:spacing w:after="140"/>
              <w:jc w:val="center"/>
            </w:pPr>
            <w:r>
              <w:rPr>
                <w:b w:val="false"/>
                <w:bCs w:val="false"/>
                <w:color w:val="6B6560"/>
                <w:sz w:val="16"/>
                <w:szCs w:val="16"/>
              </w:rPr>
              <w:t xml:space="preserve">Issued 30 August 2026</w:t>
            </w:r>
          </w:p>
        </w:tc>
      </w:tr>
    </w:tbl>
    <w:p>
      <w:pPr>
        <w:spacing w:after="60"/>
      </w:pPr>
      <w:r>
        <w:rPr>
          <w:b w:val="false"/>
          <w:bCs w:val="false"/>
          <w:color w:val="201E1D"/>
          <w:sz w:val="22"/>
          <w:szCs w:val="22"/>
        </w:rPr>
        <w:t xml:space="preserve"/>
      </w:r>
    </w:p>
    <w:p>
      <w:pPr>
        <w:spacing w:after="140"/>
      </w:pPr>
      <w:r>
        <w:rPr>
          <w:b w:val="false"/>
          <w:bCs w:val="false"/>
          <w:color w:val="6B6560"/>
          <w:sz w:val="18"/>
          <w:szCs w:val="18"/>
        </w:rPr>
        <w:t xml:space="preserve">Quality Area 1, Standard 1.5 — the assessment system is quality assured by appropriately skilled and credentialled persons through a regular process of validating assessment practices and judgements.</w:t>
      </w:r>
    </w:p>
    <w:p>
      <w:pPr>
        <w:spacing w:after="140"/>
      </w:pPr>
      <w:r>
        <w:rPr>
          <w:b w:val="false"/>
          <w:bCs w:val="false"/>
          <w:color w:val="6B6560"/>
          <w:sz w:val="18"/>
          <w:szCs w:val="18"/>
        </w:rPr>
        <w:t xml:space="preserve">Complete this record AFTER assessment has taken place. It validates assessment practices and judgements by reading samples of marked student work — it is not a review of the tools. The tools are reviewed before use in the companion document, the pre-use assessment tool review record (Standard 1.3). One does not substitute for the other, and an RTO needs both.</w:t>
      </w:r>
    </w:p>
    <w:p>
      <w:pPr>
        <w:pStyle w:val="Heading2"/>
        <w:pBdr>
          <w:bottom w:val="single" w:color="EC3013" w:sz="12" w:space="2"/>
        </w:pBdr>
        <w:spacing w:after="220" w:before="280"/>
      </w:pPr>
      <w:r>
        <w:rPr>
          <w:b/>
          <w:bCs/>
          <w:color w:val="201E1D"/>
          <w:sz w:val="28"/>
          <w:szCs w:val="28"/>
        </w:rPr>
        <w:t xml:space="preserve">Scope of this validation</w:t>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gridCol w:w="100"/>
      </w:tblGrid>
      <w:tr>
        <w:tc>
          <w:tcPr>
            <w:tcW w:type="pct" w:w="34%"/>
            <w:shd w:fill="201E1D" w:color="auto" w:val="clear"/>
            <w:tcMar>
              <w:top w:type="dxa" w:w="72"/>
              <w:left w:type="dxa" w:w="115"/>
              <w:bottom w:type="dxa" w:w="72"/>
              <w:right w:type="dxa" w:w="115"/>
            </w:tcMar>
            <w:vAlign w:val="top"/>
          </w:tcPr>
          <w:p>
            <w:pPr>
              <w:spacing w:after="140"/>
            </w:pPr>
            <w:r>
              <w:rPr>
                <w:b/>
                <w:bCs/>
                <w:color w:val="FFFFFF"/>
                <w:sz w:val="22"/>
                <w:szCs w:val="22"/>
              </w:rPr>
              <w:t xml:space="preserve">Item</w:t>
            </w:r>
          </w:p>
        </w:tc>
        <w:tc>
          <w:tcPr>
            <w:shd w:fill="201E1D" w:color="auto" w:val="clear"/>
            <w:tcMar>
              <w:top w:type="dxa" w:w="72"/>
              <w:left w:type="dxa" w:w="115"/>
              <w:bottom w:type="dxa" w:w="72"/>
              <w:right w:type="dxa" w:w="115"/>
            </w:tcMar>
            <w:vAlign w:val="top"/>
          </w:tcPr>
          <w:p>
            <w:pPr>
              <w:spacing w:after="140"/>
            </w:pPr>
            <w:r>
              <w:rPr>
                <w:b/>
                <w:bCs/>
                <w:color w:val="FFFFFF"/>
                <w:sz w:val="22"/>
                <w:szCs w:val="22"/>
              </w:rPr>
              <w:t xml:space="preserve">Record</w:t>
            </w:r>
          </w:p>
        </w:tc>
      </w:tr>
      <w:tr>
        <w:tc>
          <w:tcPr>
            <w:tcW w:type="pct" w:w="32%"/>
            <w:tcMar>
              <w:top w:type="dxa" w:w="72"/>
              <w:left w:type="dxa" w:w="115"/>
              <w:bottom w:type="dxa" w:w="72"/>
              <w:right w:type="dxa" w:w="115"/>
            </w:tcMar>
            <w:vAlign w:val="top"/>
          </w:tcPr>
          <w:p>
            <w:pPr>
              <w:spacing w:after="140"/>
            </w:pPr>
            <w:r>
              <w:rPr>
                <w:b w:val="false"/>
                <w:bCs w:val="false"/>
                <w:color w:val="201E1D"/>
                <w:sz w:val="22"/>
                <w:szCs w:val="22"/>
              </w:rPr>
              <w:t xml:space="preserve">RTO name / code</w:t>
            </w:r>
          </w:p>
        </w:tc>
        <w:tc>
          <w:tcPr>
            <w:tcMar>
              <w:top w:type="dxa" w:w="72"/>
              <w:left w:type="dxa" w:w="115"/>
              <w:bottom w:type="dxa" w:w="72"/>
              <w:right w:type="dxa" w:w="115"/>
            </w:tcMar>
            <w:vAlign w:val="top"/>
          </w:tcPr>
          <w:p>
            <w:pPr>
              <w:spacing w:after="140"/>
            </w:pPr>
            <w:r>
              <w:rPr>
                <w:b w:val="false"/>
                <w:bCs w:val="false"/>
                <w:color w:val="201E1D"/>
                <w:sz w:val="22"/>
                <w:szCs w:val="22"/>
              </w:rPr>
              <w:t xml:space="preserve">Sample RTO</w:t>
            </w:r>
          </w:p>
        </w:tc>
      </w:tr>
      <w:tr>
        <w:tc>
          <w:tcPr>
            <w:tcW w:type="pct" w:w="32%"/>
            <w:tcMar>
              <w:top w:type="dxa" w:w="72"/>
              <w:left w:type="dxa" w:w="115"/>
              <w:bottom w:type="dxa" w:w="72"/>
              <w:right w:type="dxa" w:w="115"/>
            </w:tcMar>
            <w:vAlign w:val="top"/>
          </w:tcPr>
          <w:p>
            <w:pPr>
              <w:spacing w:after="140"/>
            </w:pPr>
            <w:r>
              <w:rPr>
                <w:b w:val="false"/>
                <w:bCs w:val="false"/>
                <w:color w:val="201E1D"/>
                <w:sz w:val="22"/>
                <w:szCs w:val="22"/>
              </w:rPr>
              <w:t xml:space="preserve">Training product</w:t>
            </w:r>
          </w:p>
        </w:tc>
        <w:tc>
          <w:tcPr>
            <w:tcMar>
              <w:top w:type="dxa" w:w="72"/>
              <w:left w:type="dxa" w:w="115"/>
              <w:bottom w:type="dxa" w:w="72"/>
              <w:right w:type="dxa" w:w="115"/>
            </w:tcMar>
            <w:vAlign w:val="top"/>
          </w:tcPr>
          <w:p>
            <w:pPr>
              <w:spacing w:after="140"/>
            </w:pPr>
            <w:r>
              <w:rPr>
                <w:b w:val="false"/>
                <w:bCs w:val="false"/>
                <w:color w:val="201E1D"/>
                <w:sz w:val="22"/>
                <w:szCs w:val="22"/>
              </w:rPr>
              <w:t xml:space="preserve">CPCCCM2006 — Apply basic levelling procedures</w:t>
            </w:r>
          </w:p>
        </w:tc>
      </w:tr>
      <w:tr>
        <w:tc>
          <w:tcPr>
            <w:tcW w:type="pct" w:w="32%"/>
            <w:tcMar>
              <w:top w:type="dxa" w:w="72"/>
              <w:left w:type="dxa" w:w="115"/>
              <w:bottom w:type="dxa" w:w="72"/>
              <w:right w:type="dxa" w:w="115"/>
            </w:tcMar>
            <w:vAlign w:val="top"/>
          </w:tcPr>
          <w:p>
            <w:pPr>
              <w:spacing w:after="140"/>
            </w:pPr>
            <w:r>
              <w:rPr>
                <w:b w:val="false"/>
                <w:bCs w:val="false"/>
                <w:color w:val="201E1D"/>
                <w:sz w:val="22"/>
                <w:szCs w:val="22"/>
              </w:rPr>
              <w:t xml:space="preserve">Release validated</w:t>
            </w:r>
          </w:p>
        </w:tc>
        <w:tc>
          <w:tcPr>
            <w:tcMar>
              <w:top w:type="dxa" w:w="72"/>
              <w:left w:type="dxa" w:w="115"/>
              <w:bottom w:type="dxa" w:w="72"/>
              <w:right w:type="dxa" w:w="115"/>
            </w:tcMar>
            <w:vAlign w:val="top"/>
          </w:tcPr>
          <w:p>
            <w:pPr>
              <w:spacing w:after="140"/>
            </w:pPr>
            <w:r>
              <w:rPr>
                <w:b w:val="false"/>
                <w:bCs w:val="false"/>
                <w:color w:val="201E1D"/>
                <w:sz w:val="22"/>
                <w:szCs w:val="22"/>
              </w:rPr>
              <w:t xml:space="preserve">Release 1</w:t>
            </w:r>
          </w:p>
        </w:tc>
      </w:tr>
      <w:tr>
        <w:tc>
          <w:tcPr>
            <w:tcW w:type="pct" w:w="32%"/>
            <w:tcMar>
              <w:top w:type="dxa" w:w="72"/>
              <w:left w:type="dxa" w:w="115"/>
              <w:bottom w:type="dxa" w:w="72"/>
              <w:right w:type="dxa" w:w="115"/>
            </w:tcMar>
            <w:vAlign w:val="top"/>
          </w:tcPr>
          <w:p>
            <w:pPr>
              <w:spacing w:after="140"/>
            </w:pPr>
            <w:r>
              <w:rPr>
                <w:b w:val="false"/>
                <w:bCs w:val="false"/>
                <w:color w:val="201E1D"/>
                <w:sz w:val="22"/>
                <w:szCs w:val="22"/>
              </w:rPr>
              <w:t xml:space="preserve">Date of this validation</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W w:type="pct" w:w="32%"/>
            <w:tcMar>
              <w:top w:type="dxa" w:w="72"/>
              <w:left w:type="dxa" w:w="115"/>
              <w:bottom w:type="dxa" w:w="72"/>
              <w:right w:type="dxa" w:w="115"/>
            </w:tcMar>
            <w:vAlign w:val="top"/>
          </w:tcPr>
          <w:p>
            <w:pPr>
              <w:spacing w:after="140"/>
            </w:pPr>
            <w:r>
              <w:rPr>
                <w:b w:val="false"/>
                <w:bCs w:val="false"/>
                <w:color w:val="201E1D"/>
                <w:sz w:val="22"/>
                <w:szCs w:val="22"/>
              </w:rPr>
              <w:t xml:space="preserve">Date of previous validation</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W w:type="pct" w:w="32%"/>
            <w:tcMar>
              <w:top w:type="dxa" w:w="72"/>
              <w:left w:type="dxa" w:w="115"/>
              <w:bottom w:type="dxa" w:w="72"/>
              <w:right w:type="dxa" w:w="115"/>
            </w:tcMar>
            <w:vAlign w:val="top"/>
          </w:tcPr>
          <w:p>
            <w:pPr>
              <w:spacing w:after="140"/>
            </w:pPr>
            <w:r>
              <w:rPr>
                <w:b w:val="false"/>
                <w:bCs w:val="false"/>
                <w:color w:val="201E1D"/>
                <w:sz w:val="22"/>
                <w:szCs w:val="22"/>
              </w:rPr>
              <w:t xml:space="preserve">Next validation due (at least every five years)</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W w:type="pct" w:w="32%"/>
            <w:tcMar>
              <w:top w:type="dxa" w:w="72"/>
              <w:left w:type="dxa" w:w="115"/>
              <w:bottom w:type="dxa" w:w="72"/>
              <w:right w:type="dxa" w:w="115"/>
            </w:tcMar>
            <w:vAlign w:val="top"/>
          </w:tcPr>
          <w:p>
            <w:pPr>
              <w:spacing w:after="140"/>
            </w:pPr>
            <w:r>
              <w:rPr>
                <w:b w:val="false"/>
                <w:bCs w:val="false"/>
                <w:color w:val="201E1D"/>
                <w:sz w:val="22"/>
                <w:szCs w:val="22"/>
              </w:rPr>
              <w:t xml:space="preserve">Why now — the risk-based reason</w:t>
            </w:r>
          </w:p>
        </w:tc>
        <w:tc>
          <w:tcPr>
            <w:tcMar>
              <w:top w:type="dxa" w:w="72"/>
              <w:left w:type="dxa" w:w="115"/>
              <w:bottom w:type="dxa" w:w="72"/>
              <w:right w:type="dxa" w:w="115"/>
            </w:tcMar>
            <w:vAlign w:val="top"/>
          </w:tcPr>
          <w:p>
            <w:pPr>
              <w:spacing w:after="140"/>
            </w:pPr>
            <w:r>
              <w:rPr>
                <w:b w:val="false"/>
                <w:bCs w:val="false"/>
                <w:color w:val="201E1D"/>
                <w:sz w:val="22"/>
                <w:szCs w:val="22"/>
              </w:rPr>
              <w:t xml:space="preserve">☐ Scheduled cycle    ☐ Risk to training outcomes identified    ☐ Change to the training product    ☐ VET student feedback    ☐ Other — state it</w:t>
            </w:r>
          </w:p>
        </w:tc>
      </w:tr>
      <w:tr>
        <w:tc>
          <w:tcPr>
            <w:tcW w:type="pct" w:w="32%"/>
            <w:tcMar>
              <w:top w:type="dxa" w:w="72"/>
              <w:left w:type="dxa" w:w="115"/>
              <w:bottom w:type="dxa" w:w="72"/>
              <w:right w:type="dxa" w:w="115"/>
            </w:tcMar>
            <w:vAlign w:val="top"/>
          </w:tcPr>
          <w:p>
            <w:pPr>
              <w:spacing w:after="140"/>
            </w:pPr>
            <w:r>
              <w:rPr>
                <w:b w:val="false"/>
                <w:bCs w:val="false"/>
                <w:color w:val="201E1D"/>
                <w:sz w:val="22"/>
                <w:szCs w:val="22"/>
              </w:rPr>
              <w:t xml:space="preserve">Components of the assessment system selected for validation, and why</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bl>
    <w:p>
      <w:pPr>
        <w:spacing w:after="140"/>
      </w:pPr>
      <w:r>
        <w:rPr>
          <w:b w:val="false"/>
          <w:bCs w:val="false"/>
          <w:color w:val="6B6560"/>
          <w:sz w:val="18"/>
          <w:szCs w:val="18"/>
        </w:rPr>
        <w:t xml:space="preserve">Every training product on scope is validated at least once every five years, and more frequently where the organisation becomes aware of risks to training outcomes, the training product changes, or relevant student feedback is received. Feedback and identified risks determine which components are validated.</w:t>
      </w:r>
    </w:p>
    <w:p>
      <w:pPr>
        <w:pStyle w:val="Heading2"/>
        <w:pBdr>
          <w:bottom w:val="single" w:color="EC3013" w:sz="12" w:space="2"/>
        </w:pBdr>
        <w:spacing w:after="220" w:before="280"/>
      </w:pPr>
      <w:r>
        <w:rPr>
          <w:b/>
          <w:bCs/>
          <w:color w:val="201E1D"/>
          <w:sz w:val="28"/>
          <w:szCs w:val="28"/>
        </w:rPr>
        <w:t xml:space="preserve">The sample</w:t>
      </w:r>
    </w:p>
    <w:p>
      <w:pPr>
        <w:spacing w:after="140"/>
      </w:pPr>
      <w:r>
        <w:rPr>
          <w:b w:val="false"/>
          <w:bCs w:val="false"/>
          <w:color w:val="6B6560"/>
          <w:sz w:val="18"/>
          <w:szCs w:val="18"/>
        </w:rPr>
        <w:t xml:space="preserve">Completed, marked student work. Record the sample size and why it is defensible for this cohort — number of students assessed, spread of assessors, spread of outcomes including any not yet competent, and any re-assessments.</w:t>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gridCol w:w="100"/>
      </w:tblGrid>
      <w:tr>
        <w:tc>
          <w:tcPr>
            <w:tcW w:type="pct" w:w="34%"/>
            <w:shd w:fill="EDE9E5" w:color="auto" w:val="clear"/>
            <w:tcMar>
              <w:top w:type="dxa" w:w="72"/>
              <w:left w:type="dxa" w:w="115"/>
              <w:bottom w:type="dxa" w:w="72"/>
              <w:right w:type="dxa" w:w="115"/>
            </w:tcMar>
            <w:vAlign w:val="top"/>
          </w:tcPr>
          <w:p>
            <w:pPr>
              <w:spacing w:after="140"/>
            </w:pPr>
            <w:r>
              <w:rPr>
                <w:b/>
                <w:bCs/>
                <w:color w:val="201E1D"/>
                <w:sz w:val="22"/>
                <w:szCs w:val="22"/>
              </w:rPr>
              <w:t xml:space="preserve">Sample size and rationale</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p>
            <w:pPr>
              <w:spacing w:after="140"/>
            </w:pPr>
            <w:r>
              <w:rPr>
                <w:b w:val="false"/>
                <w:bCs w:val="false"/>
                <w:color w:val="201E1D"/>
                <w:sz w:val="22"/>
                <w:szCs w:val="22"/>
              </w:rPr>
              <w:t xml:space="preserve"> </w:t>
            </w:r>
          </w:p>
          <w:p>
            <w:pPr>
              <w:spacing w:after="140"/>
            </w:pPr>
            <w:r>
              <w:rPr>
                <w:b w:val="false"/>
                <w:bCs w:val="false"/>
                <w:color w:val="201E1D"/>
                <w:sz w:val="22"/>
                <w:szCs w:val="22"/>
              </w:rPr>
              <w:t xml:space="preserve"> </w:t>
            </w:r>
          </w:p>
        </w:tc>
      </w:tr>
    </w:tbl>
    <w:p>
      <w:pPr>
        <w:spacing w:after="60"/>
      </w:pPr>
      <w:r>
        <w:rPr>
          <w:b w:val="false"/>
          <w:bCs w:val="false"/>
          <w:color w:val="201E1D"/>
          <w:sz w:val="22"/>
          <w:szCs w:val="22"/>
        </w:rPr>
        <w:t xml:space="preserve"/>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gridCol w:w="100"/>
        <w:gridCol w:w="100"/>
        <w:gridCol w:w="100"/>
        <w:gridCol w:w="100"/>
        <w:gridCol w:w="100"/>
      </w:tblGrid>
      <w:tr>
        <w:tc>
          <w:tcPr>
            <w:tcW w:type="pct" w:w="18%"/>
            <w:shd w:fill="201E1D" w:color="auto" w:val="clear"/>
            <w:tcMar>
              <w:top w:type="dxa" w:w="72"/>
              <w:left w:type="dxa" w:w="115"/>
              <w:bottom w:type="dxa" w:w="72"/>
              <w:right w:type="dxa" w:w="115"/>
            </w:tcMar>
            <w:vAlign w:val="top"/>
          </w:tcPr>
          <w:p>
            <w:pPr>
              <w:spacing w:after="140"/>
            </w:pPr>
            <w:r>
              <w:rPr>
                <w:b/>
                <w:bCs/>
                <w:color w:val="FFFFFF"/>
                <w:sz w:val="22"/>
                <w:szCs w:val="22"/>
              </w:rPr>
              <w:t xml:space="preserve">Student reference</w:t>
            </w:r>
          </w:p>
        </w:tc>
        <w:tc>
          <w:tcPr>
            <w:tcW w:type="pct" w:w="26%"/>
            <w:shd w:fill="201E1D" w:color="auto" w:val="clear"/>
            <w:tcMar>
              <w:top w:type="dxa" w:w="72"/>
              <w:left w:type="dxa" w:w="115"/>
              <w:bottom w:type="dxa" w:w="72"/>
              <w:right w:type="dxa" w:w="115"/>
            </w:tcMar>
            <w:vAlign w:val="top"/>
          </w:tcPr>
          <w:p>
            <w:pPr>
              <w:spacing w:after="140"/>
            </w:pPr>
            <w:r>
              <w:rPr>
                <w:b/>
                <w:bCs/>
                <w:color w:val="FFFFFF"/>
                <w:sz w:val="22"/>
                <w:szCs w:val="22"/>
              </w:rPr>
              <w:t xml:space="preserve">Assessment task</w:t>
            </w:r>
          </w:p>
        </w:tc>
        <w:tc>
          <w:tcPr>
            <w:tcW w:type="pct" w:w="18%"/>
            <w:shd w:fill="201E1D" w:color="auto" w:val="clear"/>
            <w:tcMar>
              <w:top w:type="dxa" w:w="72"/>
              <w:left w:type="dxa" w:w="115"/>
              <w:bottom w:type="dxa" w:w="72"/>
              <w:right w:type="dxa" w:w="115"/>
            </w:tcMar>
            <w:vAlign w:val="top"/>
          </w:tcPr>
          <w:p>
            <w:pPr>
              <w:spacing w:after="140"/>
            </w:pPr>
            <w:r>
              <w:rPr>
                <w:b/>
                <w:bCs/>
                <w:color w:val="FFFFFF"/>
                <w:sz w:val="22"/>
                <w:szCs w:val="22"/>
              </w:rPr>
              <w:t xml:space="preserve">Assessor</w:t>
            </w:r>
          </w:p>
        </w:tc>
        <w:tc>
          <w:tcPr>
            <w:tcW w:type="pct" w:w="14%"/>
            <w:shd w:fill="201E1D" w:color="auto" w:val="clear"/>
            <w:tcMar>
              <w:top w:type="dxa" w:w="72"/>
              <w:left w:type="dxa" w:w="115"/>
              <w:bottom w:type="dxa" w:w="72"/>
              <w:right w:type="dxa" w:w="115"/>
            </w:tcMar>
            <w:vAlign w:val="top"/>
          </w:tcPr>
          <w:p>
            <w:pPr>
              <w:spacing w:after="140"/>
            </w:pPr>
            <w:r>
              <w:rPr>
                <w:b/>
                <w:bCs/>
                <w:color w:val="FFFFFF"/>
                <w:sz w:val="22"/>
                <w:szCs w:val="22"/>
              </w:rPr>
              <w:t xml:space="preserve">Date assessed</w:t>
            </w:r>
          </w:p>
        </w:tc>
        <w:tc>
          <w:tcPr>
            <w:tcW w:type="pct" w:w="12%"/>
            <w:shd w:fill="201E1D" w:color="auto" w:val="clear"/>
            <w:tcMar>
              <w:top w:type="dxa" w:w="72"/>
              <w:left w:type="dxa" w:w="115"/>
              <w:bottom w:type="dxa" w:w="72"/>
              <w:right w:type="dxa" w:w="115"/>
            </w:tcMar>
            <w:vAlign w:val="top"/>
          </w:tcPr>
          <w:p>
            <w:pPr>
              <w:spacing w:after="140"/>
            </w:pPr>
            <w:r>
              <w:rPr>
                <w:b/>
                <w:bCs/>
                <w:color w:val="FFFFFF"/>
                <w:sz w:val="22"/>
                <w:szCs w:val="22"/>
              </w:rPr>
              <w:t xml:space="preserve">Original outcome</w:t>
            </w:r>
          </w:p>
        </w:tc>
        <w:tc>
          <w:tcPr>
            <w:tcW w:type="pct" w:w="12%"/>
            <w:shd w:fill="201E1D" w:color="auto" w:val="clear"/>
            <w:tcMar>
              <w:top w:type="dxa" w:w="72"/>
              <w:left w:type="dxa" w:w="115"/>
              <w:bottom w:type="dxa" w:w="72"/>
              <w:right w:type="dxa" w:w="115"/>
            </w:tcMar>
            <w:vAlign w:val="top"/>
          </w:tcPr>
          <w:p>
            <w:pPr>
              <w:spacing w:after="140"/>
            </w:pPr>
            <w:r>
              <w:rPr>
                <w:b/>
                <w:bCs/>
                <w:color w:val="FFFFFF"/>
                <w:sz w:val="22"/>
                <w:szCs w:val="22"/>
              </w:rPr>
              <w:t xml:space="preserve">Validator agrees?</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 </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 </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 </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 </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 </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 </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 </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 </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tc>
      </w:tr>
    </w:tbl>
    <w:p>
      <w:pPr>
        <w:spacing w:after="140"/>
      </w:pPr>
      <w:r>
        <w:rPr>
          <w:b w:val="false"/>
          <w:bCs w:val="false"/>
          <w:color w:val="6B6560"/>
          <w:sz w:val="18"/>
          <w:szCs w:val="18"/>
        </w:rPr>
        <w:t xml:space="preserve">A student reference, not a name — the same convention the results sheet and the attendance register use.</w:t>
      </w:r>
    </w:p>
    <w:p>
      <w:pPr>
        <w:pStyle w:val="Heading2"/>
        <w:pBdr>
          <w:bottom w:val="single" w:color="EC3013" w:sz="12" w:space="2"/>
        </w:pBdr>
        <w:spacing w:after="220" w:before="280"/>
      </w:pPr>
      <w:r>
        <w:rPr>
          <w:b/>
          <w:bCs/>
          <w:color w:val="201E1D"/>
          <w:sz w:val="28"/>
          <w:szCs w:val="28"/>
        </w:rPr>
        <w:t xml:space="preserve">Who validated</w:t>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gridCol w:w="100"/>
        <w:gridCol w:w="100"/>
      </w:tblGrid>
      <w:tr>
        <w:tc>
          <w:tcPr>
            <w:tcW w:type="pct" w:w="24%"/>
            <w:shd w:fill="201E1D" w:color="auto" w:val="clear"/>
            <w:tcMar>
              <w:top w:type="dxa" w:w="72"/>
              <w:left w:type="dxa" w:w="115"/>
              <w:bottom w:type="dxa" w:w="72"/>
              <w:right w:type="dxa" w:w="115"/>
            </w:tcMar>
            <w:vAlign w:val="top"/>
          </w:tcPr>
          <w:p>
            <w:pPr>
              <w:spacing w:after="140"/>
            </w:pPr>
            <w:r>
              <w:rPr>
                <w:b/>
                <w:bCs/>
                <w:color w:val="FFFFFF"/>
                <w:sz w:val="22"/>
                <w:szCs w:val="22"/>
              </w:rPr>
              <w:t xml:space="preserve">Validator</w:t>
            </w:r>
          </w:p>
        </w:tc>
        <w:tc>
          <w:tcPr>
            <w:shd w:fill="201E1D" w:color="auto" w:val="clear"/>
            <w:tcMar>
              <w:top w:type="dxa" w:w="72"/>
              <w:left w:type="dxa" w:w="115"/>
              <w:bottom w:type="dxa" w:w="72"/>
              <w:right w:type="dxa" w:w="115"/>
            </w:tcMar>
            <w:vAlign w:val="top"/>
          </w:tcPr>
          <w:p>
            <w:pPr>
              <w:spacing w:after="140"/>
            </w:pPr>
            <w:r>
              <w:rPr>
                <w:b/>
                <w:bCs/>
                <w:color w:val="FFFFFF"/>
                <w:sz w:val="22"/>
                <w:szCs w:val="22"/>
              </w:rPr>
              <w:t xml:space="preserve">Industry competencies, skills and knowledge relevant to this training product</w:t>
            </w:r>
          </w:p>
        </w:tc>
        <w:tc>
          <w:tcPr>
            <w:tcW w:type="pct" w:w="30%"/>
            <w:shd w:fill="201E1D" w:color="auto" w:val="clear"/>
            <w:tcMar>
              <w:top w:type="dxa" w:w="72"/>
              <w:left w:type="dxa" w:w="115"/>
              <w:bottom w:type="dxa" w:w="72"/>
              <w:right w:type="dxa" w:w="115"/>
            </w:tcMar>
            <w:vAlign w:val="top"/>
          </w:tcPr>
          <w:p>
            <w:pPr>
              <w:spacing w:after="140"/>
            </w:pPr>
            <w:r>
              <w:rPr>
                <w:b/>
                <w:bCs/>
                <w:color w:val="FFFFFF"/>
                <w:sz w:val="22"/>
                <w:szCs w:val="22"/>
              </w:rPr>
              <w:t xml:space="preserve">Credential held (as specified in the Credential Policy)</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 </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 </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 </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tc>
      </w:tr>
    </w:tbl>
    <w:p>
      <w:pPr>
        <w:spacing w:after="140"/>
      </w:pPr>
      <w:r>
        <w:rPr>
          <w:b w:val="false"/>
          <w:bCs w:val="false"/>
          <w:color w:val="6B6560"/>
          <w:sz w:val="18"/>
          <w:szCs w:val="18"/>
        </w:rPr>
        <w:t xml:space="preserve">The validators must collectively hold the industry competencies, skills and knowledge relevant to the training product, and one of the credentials for validation specified in the Credential Policy.</w:t>
      </w:r>
    </w:p>
    <w:p>
      <w:pPr>
        <w:pStyle w:val="Heading2"/>
        <w:pBdr>
          <w:bottom w:val="single" w:color="EC3013" w:sz="12" w:space="2"/>
        </w:pBdr>
        <w:spacing w:after="220" w:before="280"/>
      </w:pPr>
      <w:r>
        <w:rPr>
          <w:b/>
          <w:bCs/>
          <w:color w:val="201E1D"/>
          <w:sz w:val="28"/>
          <w:szCs w:val="28"/>
        </w:rPr>
        <w:t xml:space="preserve">Independence</w:t>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gridCol w:w="100"/>
      </w:tblGrid>
      <w:tr>
        <w:tc>
          <w:tcPr>
            <w:tcW w:type="pct" w:w="68%"/>
            <w:shd w:fill="201E1D" w:color="auto" w:val="clear"/>
            <w:tcMar>
              <w:top w:type="dxa" w:w="72"/>
              <w:left w:type="dxa" w:w="115"/>
              <w:bottom w:type="dxa" w:w="72"/>
              <w:right w:type="dxa" w:w="115"/>
            </w:tcMar>
            <w:vAlign w:val="top"/>
          </w:tcPr>
          <w:p>
            <w:pPr>
              <w:spacing w:after="140"/>
            </w:pPr>
            <w:r>
              <w:rPr>
                <w:b/>
                <w:bCs/>
                <w:color w:val="FFFFFF"/>
                <w:sz w:val="22"/>
                <w:szCs w:val="22"/>
              </w:rPr>
              <w:t xml:space="preserve">Declaration</w:t>
            </w:r>
          </w:p>
        </w:tc>
        <w:tc>
          <w:tcPr>
            <w:shd w:fill="201E1D" w:color="auto" w:val="clear"/>
            <w:tcMar>
              <w:top w:type="dxa" w:w="72"/>
              <w:left w:type="dxa" w:w="115"/>
              <w:bottom w:type="dxa" w:w="72"/>
              <w:right w:type="dxa" w:w="115"/>
            </w:tcMar>
            <w:vAlign w:val="top"/>
          </w:tcPr>
          <w:p>
            <w:pPr>
              <w:spacing w:after="140"/>
            </w:pPr>
            <w:r>
              <w:rPr>
                <w:b/>
                <w:bCs/>
                <w:color w:val="FFFFFF"/>
                <w:sz w:val="22"/>
                <w:szCs w:val="22"/>
              </w:rPr>
              <w:t xml:space="preserve">Confirmed</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The outcome of this validation was not solely determined by a person who designed or delivered the training or assessment being validated.</w:t>
            </w:r>
          </w:p>
        </w:tc>
        <w:tc>
          <w:tcPr>
            <w:tcMar>
              <w:top w:type="dxa" w:w="72"/>
              <w:left w:type="dxa" w:w="115"/>
              <w:bottom w:type="dxa" w:w="72"/>
              <w:right w:type="dxa" w:w="115"/>
            </w:tcMar>
            <w:vAlign w:val="top"/>
          </w:tcPr>
          <w:p>
            <w:pPr>
              <w:spacing w:after="140"/>
            </w:pPr>
            <w:r>
              <w:rPr>
                <w:b w:val="false"/>
                <w:bCs w:val="false"/>
                <w:color w:val="201E1D"/>
                <w:sz w:val="22"/>
                <w:szCs w:val="22"/>
              </w:rPr>
              <w:t xml:space="preserve">☐</w:t>
            </w:r>
          </w:p>
        </w:tc>
      </w:tr>
    </w:tbl>
    <w:p>
      <w:pPr>
        <w:spacing w:after="140"/>
      </w:pPr>
      <w:r>
        <w:rPr>
          <w:b w:val="false"/>
          <w:bCs w:val="false"/>
          <w:color w:val="6B6560"/>
          <w:sz w:val="18"/>
          <w:szCs w:val="18"/>
        </w:rPr>
        <w:t xml:space="preserve">The stricter requirement — that a validator be independent of the organisation entirely — applies to Training and Education training package products. This unit is not one, so the declaration above is the rule that governs here.</w:t>
      </w:r>
    </w:p>
    <w:p>
      <w:pPr>
        <w:pStyle w:val="Heading2"/>
        <w:pBdr>
          <w:bottom w:val="single" w:color="EC3013" w:sz="12" w:space="2"/>
        </w:pBdr>
        <w:spacing w:after="220" w:before="280"/>
      </w:pPr>
      <w:r>
        <w:rPr>
          <w:b/>
          <w:bCs/>
          <w:color w:val="201E1D"/>
          <w:sz w:val="28"/>
          <w:szCs w:val="28"/>
        </w:rPr>
        <w:t xml:space="preserve">Findings — assessment practices</w:t>
      </w:r>
    </w:p>
    <w:p>
      <w:pPr>
        <w:spacing w:after="140"/>
      </w:pPr>
      <w:r>
        <w:rPr>
          <w:b w:val="false"/>
          <w:bCs w:val="false"/>
          <w:color w:val="6B6560"/>
          <w:sz w:val="18"/>
          <w:szCs w:val="18"/>
        </w:rPr>
        <w:t xml:space="preserve">How assessment was conducted: were the tools used as written, were the conditions in the unit met, was evidence gathered the way the tool says, was reasonable adjustment applied without lowering the standard.</w:t>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gridCol w:w="100"/>
        <w:gridCol w:w="100"/>
        <w:gridCol w:w="100"/>
      </w:tblGrid>
      <w:tr>
        <w:tc>
          <w:tcPr>
            <w:tcW w:type="pct" w:w="34%"/>
            <w:shd w:fill="201E1D" w:color="auto" w:val="clear"/>
            <w:tcMar>
              <w:top w:type="dxa" w:w="72"/>
              <w:left w:type="dxa" w:w="115"/>
              <w:bottom w:type="dxa" w:w="72"/>
              <w:right w:type="dxa" w:w="115"/>
            </w:tcMar>
            <w:vAlign w:val="top"/>
          </w:tcPr>
          <w:p>
            <w:pPr>
              <w:spacing w:after="140"/>
            </w:pPr>
            <w:r>
              <w:rPr>
                <w:b/>
                <w:bCs/>
                <w:color w:val="FFFFFF"/>
                <w:sz w:val="22"/>
                <w:szCs w:val="22"/>
              </w:rPr>
              <w:t xml:space="preserve">Requirement</w:t>
            </w:r>
          </w:p>
        </w:tc>
        <w:tc>
          <w:tcPr>
            <w:shd w:fill="201E1D" w:color="auto" w:val="clear"/>
            <w:tcMar>
              <w:top w:type="dxa" w:w="72"/>
              <w:left w:type="dxa" w:w="115"/>
              <w:bottom w:type="dxa" w:w="72"/>
              <w:right w:type="dxa" w:w="115"/>
            </w:tcMar>
            <w:vAlign w:val="top"/>
          </w:tcPr>
          <w:p>
            <w:pPr>
              <w:spacing w:after="140"/>
            </w:pPr>
            <w:r>
              <w:rPr>
                <w:b/>
                <w:bCs/>
                <w:color w:val="FFFFFF"/>
                <w:sz w:val="22"/>
                <w:szCs w:val="22"/>
              </w:rPr>
              <w:t xml:space="preserve">What to check in the sampled assessments</w:t>
            </w:r>
          </w:p>
        </w:tc>
        <w:tc>
          <w:tcPr>
            <w:tcW w:type="pct" w:w="10%"/>
            <w:shd w:fill="201E1D" w:color="auto" w:val="clear"/>
            <w:tcMar>
              <w:top w:type="dxa" w:w="72"/>
              <w:left w:type="dxa" w:w="115"/>
              <w:bottom w:type="dxa" w:w="72"/>
              <w:right w:type="dxa" w:w="115"/>
            </w:tcMar>
            <w:vAlign w:val="top"/>
          </w:tcPr>
          <w:p>
            <w:pPr>
              <w:spacing w:after="140"/>
            </w:pPr>
            <w:r>
              <w:rPr>
                <w:b/>
                <w:bCs/>
                <w:color w:val="FFFFFF"/>
                <w:sz w:val="22"/>
                <w:szCs w:val="22"/>
              </w:rPr>
              <w:t xml:space="preserve">Met</w:t>
            </w:r>
          </w:p>
        </w:tc>
        <w:tc>
          <w:tcPr>
            <w:tcW w:type="pct" w:w="22%"/>
            <w:shd w:fill="201E1D" w:color="auto" w:val="clear"/>
            <w:tcMar>
              <w:top w:type="dxa" w:w="72"/>
              <w:left w:type="dxa" w:w="115"/>
              <w:bottom w:type="dxa" w:w="72"/>
              <w:right w:type="dxa" w:w="115"/>
            </w:tcMar>
            <w:vAlign w:val="top"/>
          </w:tcPr>
          <w:p>
            <w:pPr>
              <w:spacing w:after="140"/>
            </w:pPr>
            <w:r>
              <w:rPr>
                <w:b/>
                <w:bCs/>
                <w:color w:val="FFFFFF"/>
                <w:sz w:val="22"/>
                <w:szCs w:val="22"/>
              </w:rPr>
              <w:t xml:space="preserve">Comments / actions</w:t>
            </w:r>
          </w:p>
        </w:tc>
      </w:tr>
      <w:tr>
        <w:tc>
          <w:tcPr>
            <w:shd w:fill="EDE9E5" w:color="auto" w:val="clear"/>
            <w:tcMar>
              <w:top w:type="dxa" w:w="72"/>
              <w:left w:type="dxa" w:w="115"/>
              <w:bottom w:type="dxa" w:w="72"/>
              <w:right w:type="dxa" w:w="115"/>
            </w:tcMar>
            <w:vAlign w:val="top"/>
          </w:tcPr>
          <w:p>
            <w:pPr>
              <w:spacing w:after="140"/>
            </w:pPr>
            <w:r>
              <w:rPr>
                <w:b/>
                <w:bCs/>
                <w:color w:val="201E1D"/>
                <w:sz w:val="22"/>
                <w:szCs w:val="22"/>
              </w:rPr>
              <w:t xml:space="preserve">Tools used as written</w:t>
            </w:r>
          </w:p>
        </w:tc>
        <w:tc>
          <w:tcPr>
            <w:tcMar>
              <w:top w:type="dxa" w:w="72"/>
              <w:left w:type="dxa" w:w="115"/>
              <w:bottom w:type="dxa" w:w="72"/>
              <w:right w:type="dxa" w:w="115"/>
            </w:tcMar>
            <w:vAlign w:val="top"/>
          </w:tcPr>
          <w:p>
            <w:pPr>
              <w:spacing w:after="140"/>
            </w:pPr>
            <w:r>
              <w:rPr>
                <w:b w:val="false"/>
                <w:bCs w:val="false"/>
                <w:color w:val="201E1D"/>
                <w:sz w:val="22"/>
                <w:szCs w:val="22"/>
              </w:rPr>
              <w:t xml:space="preserve">The assessor used the tool as approved, including the marking guide and benchmarks.</w:t>
            </w:r>
          </w:p>
        </w:tc>
        <w:tc>
          <w:tcPr>
            <w:tcMar>
              <w:top w:type="dxa" w:w="72"/>
              <w:left w:type="dxa" w:w="115"/>
              <w:bottom w:type="dxa" w:w="72"/>
              <w:right w:type="dxa" w:w="115"/>
            </w:tcMar>
            <w:vAlign w:val="top"/>
          </w:tcPr>
          <w:p>
            <w:pPr>
              <w:spacing w:after="140"/>
            </w:pPr>
            <w:r>
              <w:rPr>
                <w:b w:val="false"/>
                <w:bCs w:val="false"/>
                <w:color w:val="201E1D"/>
                <w:sz w:val="22"/>
                <w:szCs w:val="22"/>
              </w:rPr>
              <w:t xml:space="preserve">☐ Y   ☐ N</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shd w:fill="EDE9E5" w:color="auto" w:val="clear"/>
            <w:tcMar>
              <w:top w:type="dxa" w:w="72"/>
              <w:left w:type="dxa" w:w="115"/>
              <w:bottom w:type="dxa" w:w="72"/>
              <w:right w:type="dxa" w:w="115"/>
            </w:tcMar>
            <w:vAlign w:val="top"/>
          </w:tcPr>
          <w:p>
            <w:pPr>
              <w:spacing w:after="140"/>
            </w:pPr>
            <w:r>
              <w:rPr>
                <w:b/>
                <w:bCs/>
                <w:color w:val="201E1D"/>
                <w:sz w:val="22"/>
                <w:szCs w:val="22"/>
              </w:rPr>
              <w:t xml:space="preserve">Assessment conditions met</w:t>
            </w:r>
          </w:p>
        </w:tc>
        <w:tc>
          <w:tcPr>
            <w:tcMar>
              <w:top w:type="dxa" w:w="72"/>
              <w:left w:type="dxa" w:w="115"/>
              <w:bottom w:type="dxa" w:w="72"/>
              <w:right w:type="dxa" w:w="115"/>
            </w:tcMar>
            <w:vAlign w:val="top"/>
          </w:tcPr>
          <w:p>
            <w:pPr>
              <w:spacing w:after="140"/>
            </w:pPr>
            <w:r>
              <w:rPr>
                <w:b w:val="false"/>
                <w:bCs w:val="false"/>
                <w:color w:val="201E1D"/>
                <w:sz w:val="22"/>
                <w:szCs w:val="22"/>
              </w:rPr>
              <w:t xml:space="preserve">The environment, equipment and supervision matched the unit’s assessment conditions.</w:t>
            </w:r>
          </w:p>
        </w:tc>
        <w:tc>
          <w:tcPr>
            <w:tcMar>
              <w:top w:type="dxa" w:w="72"/>
              <w:left w:type="dxa" w:w="115"/>
              <w:bottom w:type="dxa" w:w="72"/>
              <w:right w:type="dxa" w:w="115"/>
            </w:tcMar>
            <w:vAlign w:val="top"/>
          </w:tcPr>
          <w:p>
            <w:pPr>
              <w:spacing w:after="140"/>
            </w:pPr>
            <w:r>
              <w:rPr>
                <w:b w:val="false"/>
                <w:bCs w:val="false"/>
                <w:color w:val="201E1D"/>
                <w:sz w:val="22"/>
                <w:szCs w:val="22"/>
              </w:rPr>
              <w:t xml:space="preserve">☐ Y   ☐ N</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shd w:fill="EDE9E5" w:color="auto" w:val="clear"/>
            <w:tcMar>
              <w:top w:type="dxa" w:w="72"/>
              <w:left w:type="dxa" w:w="115"/>
              <w:bottom w:type="dxa" w:w="72"/>
              <w:right w:type="dxa" w:w="115"/>
            </w:tcMar>
            <w:vAlign w:val="top"/>
          </w:tcPr>
          <w:p>
            <w:pPr>
              <w:spacing w:after="140"/>
            </w:pPr>
            <w:r>
              <w:rPr>
                <w:b/>
                <w:bCs/>
                <w:color w:val="201E1D"/>
                <w:sz w:val="22"/>
                <w:szCs w:val="22"/>
              </w:rPr>
              <w:t xml:space="preserve">Evidence gathering</w:t>
            </w:r>
          </w:p>
        </w:tc>
        <w:tc>
          <w:tcPr>
            <w:tcMar>
              <w:top w:type="dxa" w:w="72"/>
              <w:left w:type="dxa" w:w="115"/>
              <w:bottom w:type="dxa" w:w="72"/>
              <w:right w:type="dxa" w:w="115"/>
            </w:tcMar>
            <w:vAlign w:val="top"/>
          </w:tcPr>
          <w:p>
            <w:pPr>
              <w:spacing w:after="140"/>
            </w:pPr>
            <w:r>
              <w:rPr>
                <w:b w:val="false"/>
                <w:bCs w:val="false"/>
                <w:color w:val="201E1D"/>
                <w:sz w:val="22"/>
                <w:szCs w:val="22"/>
              </w:rPr>
              <w:t xml:space="preserve">Evidence was collected across enough occasions and in the ways the tool specifies.</w:t>
            </w:r>
          </w:p>
        </w:tc>
        <w:tc>
          <w:tcPr>
            <w:tcMar>
              <w:top w:type="dxa" w:w="72"/>
              <w:left w:type="dxa" w:w="115"/>
              <w:bottom w:type="dxa" w:w="72"/>
              <w:right w:type="dxa" w:w="115"/>
            </w:tcMar>
            <w:vAlign w:val="top"/>
          </w:tcPr>
          <w:p>
            <w:pPr>
              <w:spacing w:after="140"/>
            </w:pPr>
            <w:r>
              <w:rPr>
                <w:b w:val="false"/>
                <w:bCs w:val="false"/>
                <w:color w:val="201E1D"/>
                <w:sz w:val="22"/>
                <w:szCs w:val="22"/>
              </w:rPr>
              <w:t xml:space="preserve">☐ Y   ☐ N</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shd w:fill="EDE9E5" w:color="auto" w:val="clear"/>
            <w:tcMar>
              <w:top w:type="dxa" w:w="72"/>
              <w:left w:type="dxa" w:w="115"/>
              <w:bottom w:type="dxa" w:w="72"/>
              <w:right w:type="dxa" w:w="115"/>
            </w:tcMar>
            <w:vAlign w:val="top"/>
          </w:tcPr>
          <w:p>
            <w:pPr>
              <w:spacing w:after="140"/>
            </w:pPr>
            <w:r>
              <w:rPr>
                <w:b/>
                <w:bCs/>
                <w:color w:val="201E1D"/>
                <w:sz w:val="22"/>
                <w:szCs w:val="22"/>
              </w:rPr>
              <w:t xml:space="preserve">Reasonable adjustment</w:t>
            </w:r>
          </w:p>
        </w:tc>
        <w:tc>
          <w:tcPr>
            <w:tcMar>
              <w:top w:type="dxa" w:w="72"/>
              <w:left w:type="dxa" w:w="115"/>
              <w:bottom w:type="dxa" w:w="72"/>
              <w:right w:type="dxa" w:w="115"/>
            </w:tcMar>
            <w:vAlign w:val="top"/>
          </w:tcPr>
          <w:p>
            <w:pPr>
              <w:spacing w:after="140"/>
            </w:pPr>
            <w:r>
              <w:rPr>
                <w:b w:val="false"/>
                <w:bCs w:val="false"/>
                <w:color w:val="201E1D"/>
                <w:sz w:val="22"/>
                <w:szCs w:val="22"/>
              </w:rPr>
              <w:t xml:space="preserve">Where applied, it changed how evidence was gathered and not the standard of performance.</w:t>
            </w:r>
          </w:p>
        </w:tc>
        <w:tc>
          <w:tcPr>
            <w:tcMar>
              <w:top w:type="dxa" w:w="72"/>
              <w:left w:type="dxa" w:w="115"/>
              <w:bottom w:type="dxa" w:w="72"/>
              <w:right w:type="dxa" w:w="115"/>
            </w:tcMar>
            <w:vAlign w:val="top"/>
          </w:tcPr>
          <w:p>
            <w:pPr>
              <w:spacing w:after="140"/>
            </w:pPr>
            <w:r>
              <w:rPr>
                <w:b w:val="false"/>
                <w:bCs w:val="false"/>
                <w:color w:val="201E1D"/>
                <w:sz w:val="22"/>
                <w:szCs w:val="22"/>
              </w:rPr>
              <w:t xml:space="preserve">☐ Y   ☐ N</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bl>
    <w:p>
      <w:pPr>
        <w:pStyle w:val="Heading2"/>
        <w:pBdr>
          <w:bottom w:val="single" w:color="EC3013" w:sz="12" w:space="2"/>
        </w:pBdr>
        <w:spacing w:after="220" w:before="280"/>
      </w:pPr>
      <w:r>
        <w:rPr>
          <w:b/>
          <w:bCs/>
          <w:color w:val="201E1D"/>
          <w:sz w:val="28"/>
          <w:szCs w:val="28"/>
        </w:rPr>
        <w:t xml:space="preserve">Findings — assessment judgements</w:t>
      </w:r>
    </w:p>
    <w:p>
      <w:pPr>
        <w:spacing w:after="140"/>
      </w:pPr>
      <w:r>
        <w:rPr>
          <w:b w:val="false"/>
          <w:bCs w:val="false"/>
          <w:color w:val="6B6560"/>
          <w:sz w:val="18"/>
          <w:szCs w:val="18"/>
        </w:rPr>
        <w:t xml:space="preserve">Whether the decisions were right: on the evidence in front of the assessor, was the outcome recorded the outcome the benchmark supports, and would another assessor have reached it.</w:t>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gridCol w:w="100"/>
        <w:gridCol w:w="100"/>
        <w:gridCol w:w="100"/>
      </w:tblGrid>
      <w:tr>
        <w:tc>
          <w:tcPr>
            <w:tcW w:type="pct" w:w="34%"/>
            <w:shd w:fill="201E1D" w:color="auto" w:val="clear"/>
            <w:tcMar>
              <w:top w:type="dxa" w:w="72"/>
              <w:left w:type="dxa" w:w="115"/>
              <w:bottom w:type="dxa" w:w="72"/>
              <w:right w:type="dxa" w:w="115"/>
            </w:tcMar>
            <w:vAlign w:val="top"/>
          </w:tcPr>
          <w:p>
            <w:pPr>
              <w:spacing w:after="140"/>
            </w:pPr>
            <w:r>
              <w:rPr>
                <w:b/>
                <w:bCs/>
                <w:color w:val="FFFFFF"/>
                <w:sz w:val="22"/>
                <w:szCs w:val="22"/>
              </w:rPr>
              <w:t xml:space="preserve">Requirement</w:t>
            </w:r>
          </w:p>
        </w:tc>
        <w:tc>
          <w:tcPr>
            <w:shd w:fill="201E1D" w:color="auto" w:val="clear"/>
            <w:tcMar>
              <w:top w:type="dxa" w:w="72"/>
              <w:left w:type="dxa" w:w="115"/>
              <w:bottom w:type="dxa" w:w="72"/>
              <w:right w:type="dxa" w:w="115"/>
            </w:tcMar>
            <w:vAlign w:val="top"/>
          </w:tcPr>
          <w:p>
            <w:pPr>
              <w:spacing w:after="140"/>
            </w:pPr>
            <w:r>
              <w:rPr>
                <w:b/>
                <w:bCs/>
                <w:color w:val="FFFFFF"/>
                <w:sz w:val="22"/>
                <w:szCs w:val="22"/>
              </w:rPr>
              <w:t xml:space="preserve">What to check in the marked student work</w:t>
            </w:r>
          </w:p>
        </w:tc>
        <w:tc>
          <w:tcPr>
            <w:tcW w:type="pct" w:w="10%"/>
            <w:shd w:fill="201E1D" w:color="auto" w:val="clear"/>
            <w:tcMar>
              <w:top w:type="dxa" w:w="72"/>
              <w:left w:type="dxa" w:w="115"/>
              <w:bottom w:type="dxa" w:w="72"/>
              <w:right w:type="dxa" w:w="115"/>
            </w:tcMar>
            <w:vAlign w:val="top"/>
          </w:tcPr>
          <w:p>
            <w:pPr>
              <w:spacing w:after="140"/>
            </w:pPr>
            <w:r>
              <w:rPr>
                <w:b/>
                <w:bCs/>
                <w:color w:val="FFFFFF"/>
                <w:sz w:val="22"/>
                <w:szCs w:val="22"/>
              </w:rPr>
              <w:t xml:space="preserve">Met</w:t>
            </w:r>
          </w:p>
        </w:tc>
        <w:tc>
          <w:tcPr>
            <w:tcW w:type="pct" w:w="22%"/>
            <w:shd w:fill="201E1D" w:color="auto" w:val="clear"/>
            <w:tcMar>
              <w:top w:type="dxa" w:w="72"/>
              <w:left w:type="dxa" w:w="115"/>
              <w:bottom w:type="dxa" w:w="72"/>
              <w:right w:type="dxa" w:w="115"/>
            </w:tcMar>
            <w:vAlign w:val="top"/>
          </w:tcPr>
          <w:p>
            <w:pPr>
              <w:spacing w:after="140"/>
            </w:pPr>
            <w:r>
              <w:rPr>
                <w:b/>
                <w:bCs/>
                <w:color w:val="FFFFFF"/>
                <w:sz w:val="22"/>
                <w:szCs w:val="22"/>
              </w:rPr>
              <w:t xml:space="preserve">Comments / actions</w:t>
            </w:r>
          </w:p>
        </w:tc>
      </w:tr>
      <w:tr>
        <w:tc>
          <w:tcPr>
            <w:shd w:fill="EDE9E5" w:color="auto" w:val="clear"/>
            <w:tcMar>
              <w:top w:type="dxa" w:w="72"/>
              <w:left w:type="dxa" w:w="115"/>
              <w:bottom w:type="dxa" w:w="72"/>
              <w:right w:type="dxa" w:w="115"/>
            </w:tcMar>
            <w:vAlign w:val="top"/>
          </w:tcPr>
          <w:p>
            <w:pPr>
              <w:spacing w:after="140"/>
            </w:pPr>
            <w:r>
              <w:rPr>
                <w:b/>
                <w:bCs/>
                <w:color w:val="201E1D"/>
                <w:sz w:val="22"/>
                <w:szCs w:val="22"/>
              </w:rPr>
              <w:t xml:space="preserve">Judgements match the evidence</w:t>
            </w:r>
          </w:p>
        </w:tc>
        <w:tc>
          <w:tcPr>
            <w:tcMar>
              <w:top w:type="dxa" w:w="72"/>
              <w:left w:type="dxa" w:w="115"/>
              <w:bottom w:type="dxa" w:w="72"/>
              <w:right w:type="dxa" w:w="115"/>
            </w:tcMar>
            <w:vAlign w:val="top"/>
          </w:tcPr>
          <w:p>
            <w:pPr>
              <w:spacing w:after="140"/>
            </w:pPr>
            <w:r>
              <w:rPr>
                <w:b w:val="false"/>
                <w:bCs w:val="false"/>
                <w:color w:val="201E1D"/>
                <w:sz w:val="22"/>
                <w:szCs w:val="22"/>
              </w:rPr>
              <w:t xml:space="preserve">Each sampled outcome is supported by the evidence actually on file.</w:t>
            </w:r>
          </w:p>
        </w:tc>
        <w:tc>
          <w:tcPr>
            <w:tcMar>
              <w:top w:type="dxa" w:w="72"/>
              <w:left w:type="dxa" w:w="115"/>
              <w:bottom w:type="dxa" w:w="72"/>
              <w:right w:type="dxa" w:w="115"/>
            </w:tcMar>
            <w:vAlign w:val="top"/>
          </w:tcPr>
          <w:p>
            <w:pPr>
              <w:spacing w:after="140"/>
            </w:pPr>
            <w:r>
              <w:rPr>
                <w:b w:val="false"/>
                <w:bCs w:val="false"/>
                <w:color w:val="201E1D"/>
                <w:sz w:val="22"/>
                <w:szCs w:val="22"/>
              </w:rPr>
              <w:t xml:space="preserve">☐ Y   ☐ N</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shd w:fill="EDE9E5" w:color="auto" w:val="clear"/>
            <w:tcMar>
              <w:top w:type="dxa" w:w="72"/>
              <w:left w:type="dxa" w:w="115"/>
              <w:bottom w:type="dxa" w:w="72"/>
              <w:right w:type="dxa" w:w="115"/>
            </w:tcMar>
            <w:vAlign w:val="top"/>
          </w:tcPr>
          <w:p>
            <w:pPr>
              <w:spacing w:after="140"/>
            </w:pPr>
            <w:r>
              <w:rPr>
                <w:b/>
                <w:bCs/>
                <w:color w:val="201E1D"/>
                <w:sz w:val="22"/>
                <w:szCs w:val="22"/>
              </w:rPr>
              <w:t xml:space="preserve">Consistency between assessors</w:t>
            </w:r>
          </w:p>
        </w:tc>
        <w:tc>
          <w:tcPr>
            <w:tcMar>
              <w:top w:type="dxa" w:w="72"/>
              <w:left w:type="dxa" w:w="115"/>
              <w:bottom w:type="dxa" w:w="72"/>
              <w:right w:type="dxa" w:w="115"/>
            </w:tcMar>
            <w:vAlign w:val="top"/>
          </w:tcPr>
          <w:p>
            <w:pPr>
              <w:spacing w:after="140"/>
            </w:pPr>
            <w:r>
              <w:rPr>
                <w:b w:val="false"/>
                <w:bCs w:val="false"/>
                <w:color w:val="201E1D"/>
                <w:sz w:val="22"/>
                <w:szCs w:val="22"/>
              </w:rPr>
              <w:t xml:space="preserve">Comparable work received comparable outcomes across the assessors sampled.</w:t>
            </w:r>
          </w:p>
        </w:tc>
        <w:tc>
          <w:tcPr>
            <w:tcMar>
              <w:top w:type="dxa" w:w="72"/>
              <w:left w:type="dxa" w:w="115"/>
              <w:bottom w:type="dxa" w:w="72"/>
              <w:right w:type="dxa" w:w="115"/>
            </w:tcMar>
            <w:vAlign w:val="top"/>
          </w:tcPr>
          <w:p>
            <w:pPr>
              <w:spacing w:after="140"/>
            </w:pPr>
            <w:r>
              <w:rPr>
                <w:b w:val="false"/>
                <w:bCs w:val="false"/>
                <w:color w:val="201E1D"/>
                <w:sz w:val="22"/>
                <w:szCs w:val="22"/>
              </w:rPr>
              <w:t xml:space="preserve">☐ Y   ☐ N</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shd w:fill="EDE9E5" w:color="auto" w:val="clear"/>
            <w:tcMar>
              <w:top w:type="dxa" w:w="72"/>
              <w:left w:type="dxa" w:w="115"/>
              <w:bottom w:type="dxa" w:w="72"/>
              <w:right w:type="dxa" w:w="115"/>
            </w:tcMar>
            <w:vAlign w:val="top"/>
          </w:tcPr>
          <w:p>
            <w:pPr>
              <w:spacing w:after="140"/>
            </w:pPr>
            <w:r>
              <w:rPr>
                <w:b/>
                <w:bCs/>
                <w:color w:val="201E1D"/>
                <w:sz w:val="22"/>
                <w:szCs w:val="22"/>
              </w:rPr>
              <w:t xml:space="preserve">Not yet competent decisions</w:t>
            </w:r>
          </w:p>
        </w:tc>
        <w:tc>
          <w:tcPr>
            <w:tcMar>
              <w:top w:type="dxa" w:w="72"/>
              <w:left w:type="dxa" w:w="115"/>
              <w:bottom w:type="dxa" w:w="72"/>
              <w:right w:type="dxa" w:w="115"/>
            </w:tcMar>
            <w:vAlign w:val="top"/>
          </w:tcPr>
          <w:p>
            <w:pPr>
              <w:spacing w:after="140"/>
            </w:pPr>
            <w:r>
              <w:rPr>
                <w:b w:val="false"/>
                <w:bCs w:val="false"/>
                <w:color w:val="201E1D"/>
                <w:sz w:val="22"/>
                <w:szCs w:val="22"/>
              </w:rPr>
              <w:t xml:space="preserve">Where a student was marked not yet competent, the reason is recorded and re-assessment was offered.</w:t>
            </w:r>
          </w:p>
        </w:tc>
        <w:tc>
          <w:tcPr>
            <w:tcMar>
              <w:top w:type="dxa" w:w="72"/>
              <w:left w:type="dxa" w:w="115"/>
              <w:bottom w:type="dxa" w:w="72"/>
              <w:right w:type="dxa" w:w="115"/>
            </w:tcMar>
            <w:vAlign w:val="top"/>
          </w:tcPr>
          <w:p>
            <w:pPr>
              <w:spacing w:after="140"/>
            </w:pPr>
            <w:r>
              <w:rPr>
                <w:b w:val="false"/>
                <w:bCs w:val="false"/>
                <w:color w:val="201E1D"/>
                <w:sz w:val="22"/>
                <w:szCs w:val="22"/>
              </w:rPr>
              <w:t xml:space="preserve">☐ Y   ☐ N</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shd w:fill="EDE9E5" w:color="auto" w:val="clear"/>
            <w:tcMar>
              <w:top w:type="dxa" w:w="72"/>
              <w:left w:type="dxa" w:w="115"/>
              <w:bottom w:type="dxa" w:w="72"/>
              <w:right w:type="dxa" w:w="115"/>
            </w:tcMar>
            <w:vAlign w:val="top"/>
          </w:tcPr>
          <w:p>
            <w:pPr>
              <w:spacing w:after="140"/>
            </w:pPr>
            <w:r>
              <w:rPr>
                <w:b/>
                <w:bCs/>
                <w:color w:val="201E1D"/>
                <w:sz w:val="22"/>
                <w:szCs w:val="22"/>
              </w:rPr>
              <w:t xml:space="preserve">Sufficiency of evidence held</w:t>
            </w:r>
          </w:p>
        </w:tc>
        <w:tc>
          <w:tcPr>
            <w:tcMar>
              <w:top w:type="dxa" w:w="72"/>
              <w:left w:type="dxa" w:w="115"/>
              <w:bottom w:type="dxa" w:w="72"/>
              <w:right w:type="dxa" w:w="115"/>
            </w:tcMar>
            <w:vAlign w:val="top"/>
          </w:tcPr>
          <w:p>
            <w:pPr>
              <w:spacing w:after="140"/>
            </w:pPr>
            <w:r>
              <w:rPr>
                <w:b w:val="false"/>
                <w:bCs w:val="false"/>
                <w:color w:val="201E1D"/>
                <w:sz w:val="22"/>
                <w:szCs w:val="22"/>
              </w:rPr>
              <w:t xml:space="preserve">The evidence retained would let a third party reach the same decision.</w:t>
            </w:r>
          </w:p>
        </w:tc>
        <w:tc>
          <w:tcPr>
            <w:tcMar>
              <w:top w:type="dxa" w:w="72"/>
              <w:left w:type="dxa" w:w="115"/>
              <w:bottom w:type="dxa" w:w="72"/>
              <w:right w:type="dxa" w:w="115"/>
            </w:tcMar>
            <w:vAlign w:val="top"/>
          </w:tcPr>
          <w:p>
            <w:pPr>
              <w:spacing w:after="140"/>
            </w:pPr>
            <w:r>
              <w:rPr>
                <w:b w:val="false"/>
                <w:bCs w:val="false"/>
                <w:color w:val="201E1D"/>
                <w:sz w:val="22"/>
                <w:szCs w:val="22"/>
              </w:rPr>
              <w:t xml:space="preserve">☐ Y   ☐ N</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bl>
    <w:p>
      <w:pPr>
        <w:pStyle w:val="Heading2"/>
        <w:pBdr>
          <w:bottom w:val="single" w:color="EC3013" w:sz="12" w:space="2"/>
        </w:pBdr>
        <w:spacing w:after="220" w:before="280"/>
      </w:pPr>
      <w:r>
        <w:rPr>
          <w:b/>
          <w:bCs/>
          <w:color w:val="201E1D"/>
          <w:sz w:val="28"/>
          <w:szCs w:val="28"/>
        </w:rPr>
        <w:t xml:space="preserve">What changes as a result</w:t>
      </w:r>
    </w:p>
    <w:p>
      <w:pPr>
        <w:spacing w:after="140"/>
      </w:pPr>
      <w:r>
        <w:rPr>
          <w:b w:val="false"/>
          <w:bCs w:val="false"/>
          <w:color w:val="6B6560"/>
          <w:sz w:val="18"/>
          <w:szCs w:val="18"/>
        </w:rPr>
        <w:t xml:space="preserve">A validation that changes nothing and says nothing about why is not evidence of quality assurance. Record what the outcomes of this validation change in the assessment system, or record that nothing needed to change and what supports that.</w:t>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gridCol w:w="100"/>
        <w:gridCol w:w="100"/>
        <w:gridCol w:w="100"/>
        <w:gridCol w:w="100"/>
      </w:tblGrid>
      <w:tr>
        <w:tc>
          <w:tcPr>
            <w:tcW w:type="pct" w:w="34%"/>
            <w:shd w:fill="201E1D" w:color="auto" w:val="clear"/>
            <w:tcMar>
              <w:top w:type="dxa" w:w="72"/>
              <w:left w:type="dxa" w:w="115"/>
              <w:bottom w:type="dxa" w:w="72"/>
              <w:right w:type="dxa" w:w="115"/>
            </w:tcMar>
            <w:vAlign w:val="top"/>
          </w:tcPr>
          <w:p>
            <w:pPr>
              <w:spacing w:after="140"/>
            </w:pPr>
            <w:r>
              <w:rPr>
                <w:b/>
                <w:bCs/>
                <w:color w:val="FFFFFF"/>
                <w:sz w:val="22"/>
                <w:szCs w:val="22"/>
              </w:rPr>
              <w:t xml:space="preserve">Finding</w:t>
            </w:r>
          </w:p>
        </w:tc>
        <w:tc>
          <w:tcPr>
            <w:shd w:fill="201E1D" w:color="auto" w:val="clear"/>
            <w:tcMar>
              <w:top w:type="dxa" w:w="72"/>
              <w:left w:type="dxa" w:w="115"/>
              <w:bottom w:type="dxa" w:w="72"/>
              <w:right w:type="dxa" w:w="115"/>
            </w:tcMar>
            <w:vAlign w:val="top"/>
          </w:tcPr>
          <w:p>
            <w:pPr>
              <w:spacing w:after="140"/>
            </w:pPr>
            <w:r>
              <w:rPr>
                <w:b/>
                <w:bCs/>
                <w:color w:val="FFFFFF"/>
                <w:sz w:val="22"/>
                <w:szCs w:val="22"/>
              </w:rPr>
              <w:t xml:space="preserve">Change to the assessment system</w:t>
            </w:r>
          </w:p>
        </w:tc>
        <w:tc>
          <w:tcPr>
            <w:tcW w:type="pct" w:w="16%"/>
            <w:shd w:fill="201E1D" w:color="auto" w:val="clear"/>
            <w:tcMar>
              <w:top w:type="dxa" w:w="72"/>
              <w:left w:type="dxa" w:w="115"/>
              <w:bottom w:type="dxa" w:w="72"/>
              <w:right w:type="dxa" w:w="115"/>
            </w:tcMar>
            <w:vAlign w:val="top"/>
          </w:tcPr>
          <w:p>
            <w:pPr>
              <w:spacing w:after="140"/>
            </w:pPr>
            <w:r>
              <w:rPr>
                <w:b/>
                <w:bCs/>
                <w:color w:val="FFFFFF"/>
                <w:sz w:val="22"/>
                <w:szCs w:val="22"/>
              </w:rPr>
              <w:t xml:space="preserve">Owner</w:t>
            </w:r>
          </w:p>
        </w:tc>
        <w:tc>
          <w:tcPr>
            <w:tcW w:type="pct" w:w="12%"/>
            <w:shd w:fill="201E1D" w:color="auto" w:val="clear"/>
            <w:tcMar>
              <w:top w:type="dxa" w:w="72"/>
              <w:left w:type="dxa" w:w="115"/>
              <w:bottom w:type="dxa" w:w="72"/>
              <w:right w:type="dxa" w:w="115"/>
            </w:tcMar>
            <w:vAlign w:val="top"/>
          </w:tcPr>
          <w:p>
            <w:pPr>
              <w:spacing w:after="140"/>
            </w:pPr>
            <w:r>
              <w:rPr>
                <w:b/>
                <w:bCs/>
                <w:color w:val="FFFFFF"/>
                <w:sz w:val="22"/>
                <w:szCs w:val="22"/>
              </w:rPr>
              <w:t xml:space="preserve">Due</w:t>
            </w:r>
          </w:p>
        </w:tc>
        <w:tc>
          <w:tcPr>
            <w:tcW w:type="pct" w:w="10%"/>
            <w:shd w:fill="201E1D" w:color="auto" w:val="clear"/>
            <w:tcMar>
              <w:top w:type="dxa" w:w="72"/>
              <w:left w:type="dxa" w:w="115"/>
              <w:bottom w:type="dxa" w:w="72"/>
              <w:right w:type="dxa" w:w="115"/>
            </w:tcMar>
            <w:vAlign w:val="top"/>
          </w:tcPr>
          <w:p>
            <w:pPr>
              <w:spacing w:after="140"/>
            </w:pPr>
            <w:r>
              <w:rPr>
                <w:b/>
                <w:bCs/>
                <w:color w:val="FFFFFF"/>
                <w:sz w:val="22"/>
                <w:szCs w:val="22"/>
              </w:rPr>
              <w:t xml:space="preserve">Closed</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 </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 </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 </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 </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 </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tc>
      </w:tr>
    </w:tbl>
    <w:p>
      <w:pPr>
        <w:pStyle w:val="Heading2"/>
        <w:pBdr>
          <w:bottom w:val="single" w:color="EC3013" w:sz="12" w:space="2"/>
        </w:pBdr>
        <w:spacing w:after="220" w:before="280"/>
      </w:pPr>
      <w:r>
        <w:rPr>
          <w:b/>
          <w:bCs/>
          <w:color w:val="201E1D"/>
          <w:sz w:val="28"/>
          <w:szCs w:val="28"/>
        </w:rPr>
        <w:t xml:space="preserve">Outcome</w:t>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gridCol w:w="100"/>
      </w:tblGrid>
      <w:tr>
        <w:tc>
          <w:tcPr>
            <w:tcW w:type="pct" w:w="40%"/>
            <w:shd w:fill="201E1D" w:color="auto" w:val="clear"/>
            <w:tcMar>
              <w:top w:type="dxa" w:w="72"/>
              <w:left w:type="dxa" w:w="115"/>
              <w:bottom w:type="dxa" w:w="72"/>
              <w:right w:type="dxa" w:w="115"/>
            </w:tcMar>
            <w:vAlign w:val="top"/>
          </w:tcPr>
          <w:p>
            <w:pPr>
              <w:spacing w:after="140"/>
            </w:pPr>
            <w:r>
              <w:rPr>
                <w:b/>
                <w:bCs/>
                <w:color w:val="FFFFFF"/>
                <w:sz w:val="22"/>
                <w:szCs w:val="22"/>
              </w:rPr>
              <w:t xml:space="preserve">Decision</w:t>
            </w:r>
          </w:p>
        </w:tc>
        <w:tc>
          <w:tcPr>
            <w:shd w:fill="201E1D" w:color="auto" w:val="clear"/>
            <w:tcMar>
              <w:top w:type="dxa" w:w="72"/>
              <w:left w:type="dxa" w:w="115"/>
              <w:bottom w:type="dxa" w:w="72"/>
              <w:right w:type="dxa" w:w="115"/>
            </w:tcMar>
            <w:vAlign w:val="top"/>
          </w:tcPr>
          <w:p>
            <w:pPr>
              <w:spacing w:after="140"/>
            </w:pPr>
            <w:r>
              <w:rPr>
                <w:b/>
                <w:bCs/>
                <w:color w:val="FFFFFF"/>
                <w:sz w:val="22"/>
                <w:szCs w:val="22"/>
              </w:rPr>
              <w:t xml:space="preserve">Detail</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 Assessment practices and judgements validated — no change required</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 Validated with actions — listed above</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 Not validated — assessment system requires rework before further use</w:t>
            </w:r>
          </w:p>
        </w:tc>
        <w:tc>
          <w:tcPr>
            <w:tcMar>
              <w:top w:type="dxa" w:w="72"/>
              <w:left w:type="dxa" w:w="115"/>
              <w:bottom w:type="dxa" w:w="72"/>
              <w:right w:type="dxa" w:w="115"/>
            </w:tcMar>
            <w:vAlign w:val="top"/>
          </w:tcPr>
          <w:p>
            <w:pPr>
              <w:spacing w:after="140"/>
            </w:pPr>
            <w:r>
              <w:rPr>
                <w:b w:val="false"/>
                <w:bCs w:val="false"/>
                <w:color w:val="201E1D"/>
                <w:sz w:val="22"/>
                <w:szCs w:val="22"/>
              </w:rPr>
              <w:t xml:space="preserve"/>
            </w:r>
          </w:p>
        </w:tc>
      </w:tr>
    </w:tbl>
    <w:p>
      <w:pPr>
        <w:spacing w:after="60"/>
      </w:pPr>
      <w:r>
        <w:rPr>
          <w:b w:val="false"/>
          <w:bCs w:val="false"/>
          <w:color w:val="201E1D"/>
          <w:sz w:val="22"/>
          <w:szCs w:val="22"/>
        </w:rPr>
        <w:t xml:space="preserve"/>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gridCol w:w="100"/>
        <w:gridCol w:w="100"/>
      </w:tblGrid>
      <w:tr>
        <w:trPr>
          <w:tblHeader/>
        </w:trPr>
        <w:tc>
          <w:tcPr>
            <w:tcW w:type="pct" w:w="40%"/>
            <w:shd w:fill="201E1D" w:color="auto" w:val="clear"/>
            <w:tcMar>
              <w:top w:type="dxa" w:w="72"/>
              <w:left w:type="dxa" w:w="115"/>
              <w:bottom w:type="dxa" w:w="72"/>
              <w:right w:type="dxa" w:w="115"/>
            </w:tcMar>
            <w:vAlign w:val="top"/>
          </w:tcPr>
          <w:p>
            <w:pPr>
              <w:spacing w:after="140"/>
            </w:pPr>
            <w:r>
              <w:rPr>
                <w:b/>
                <w:bCs/>
                <w:color w:val="FFFFFF"/>
                <w:sz w:val="16"/>
                <w:szCs w:val="16"/>
              </w:rPr>
              <w:t xml:space="preserve">Lead validator name</w:t>
            </w:r>
          </w:p>
        </w:tc>
        <w:tc>
          <w:tcPr>
            <w:tcW w:type="pct" w:w="35%"/>
            <w:shd w:fill="201E1D" w:color="auto" w:val="clear"/>
            <w:tcMar>
              <w:top w:type="dxa" w:w="72"/>
              <w:left w:type="dxa" w:w="115"/>
              <w:bottom w:type="dxa" w:w="72"/>
              <w:right w:type="dxa" w:w="115"/>
            </w:tcMar>
            <w:vAlign w:val="top"/>
          </w:tcPr>
          <w:p>
            <w:pPr>
              <w:spacing w:after="140"/>
            </w:pPr>
            <w:r>
              <w:rPr>
                <w:b/>
                <w:bCs/>
                <w:color w:val="FFFFFF"/>
                <w:sz w:val="16"/>
                <w:szCs w:val="16"/>
              </w:rPr>
              <w:t xml:space="preserve">Lead validator signature</w:t>
            </w:r>
          </w:p>
        </w:tc>
        <w:tc>
          <w:tcPr>
            <w:tcW w:type="pct" w:w="25%"/>
            <w:shd w:fill="201E1D" w:color="auto" w:val="clear"/>
            <w:tcMar>
              <w:top w:type="dxa" w:w="72"/>
              <w:left w:type="dxa" w:w="115"/>
              <w:bottom w:type="dxa" w:w="72"/>
              <w:right w:type="dxa" w:w="115"/>
            </w:tcMar>
            <w:vAlign w:val="top"/>
          </w:tcPr>
          <w:p>
            <w:pPr>
              <w:spacing w:after="140"/>
            </w:pPr>
            <w:r>
              <w:rPr>
                <w:b/>
                <w:bCs/>
                <w:color w:val="FFFFFF"/>
                <w:sz w:val="16"/>
                <w:szCs w:val="16"/>
              </w:rPr>
              <w:t xml:space="preserve">Date</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 </w:t>
            </w:r>
          </w:p>
          <w:p>
            <w:pPr>
              <w:spacing w:after="140"/>
            </w:pPr>
            <w:r>
              <w:rPr>
                <w:b w:val="false"/>
                <w:bCs w:val="false"/>
                <w:color w:val="201E1D"/>
                <w:sz w:val="22"/>
                <w:szCs w:val="22"/>
              </w:rPr>
              <w:t xml:space="preserve"> </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p>
            <w:pPr>
              <w:spacing w:after="140"/>
            </w:pPr>
            <w:r>
              <w:rPr>
                <w:b w:val="false"/>
                <w:bCs w:val="false"/>
                <w:color w:val="201E1D"/>
                <w:sz w:val="22"/>
                <w:szCs w:val="22"/>
              </w:rPr>
              <w:t xml:space="preserve"> </w:t>
            </w:r>
          </w:p>
        </w:tc>
        <w:tc>
          <w:tcPr>
            <w:tcMar>
              <w:top w:type="dxa" w:w="72"/>
              <w:left w:type="dxa" w:w="115"/>
              <w:bottom w:type="dxa" w:w="72"/>
              <w:right w:type="dxa" w:w="115"/>
            </w:tcMar>
            <w:vAlign w:val="top"/>
          </w:tcPr>
          <w:p>
            <w:pPr>
              <w:spacing w:after="140"/>
            </w:pPr>
            <w:r>
              <w:rPr>
                <w:b w:val="false"/>
                <w:bCs w:val="false"/>
                <w:color w:val="201E1D"/>
                <w:sz w:val="22"/>
                <w:szCs w:val="22"/>
              </w:rPr>
              <w:t xml:space="preserve"> </w:t>
            </w:r>
          </w:p>
          <w:p>
            <w:pPr>
              <w:spacing w:after="140"/>
            </w:pPr>
            <w:r>
              <w:rPr>
                <w:b w:val="false"/>
                <w:bCs w:val="false"/>
                <w:color w:val="201E1D"/>
                <w:sz w:val="22"/>
                <w:szCs w:val="22"/>
              </w:rPr>
              <w:t xml:space="preserve"> </w:t>
            </w:r>
          </w:p>
        </w:tc>
      </w:tr>
    </w:tbl>
    <w:sectPr>
      <w:headerReference w:type="default" r:id="rId7"/>
      <w:footerReference w:type="default" r:id="rId8"/>
      <w:pgSz w:w="11906" w:h="16838" w:orient="portrait"/>
      <w:pgMar w:top="1008" w:right="1008" w:bottom="1008" w:left="1008"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4D0" w:sz="4"/>
      </w:pBdr>
      <w:spacing w:before="60"/>
    </w:pPr>
    <w:r>
      <w:rPr>
        <w:color w:val="6B6560"/>
        <w:sz w:val="16"/>
        <w:szCs w:val="16"/>
      </w:rPr>
      <w:t xml:space="preserve">Assessment validation record · Issued 30 August 2026 · </w:t>
    </w:r>
    <w:r>
      <w:rPr>
        <w:color w:val="6B6560"/>
        <w:sz w:val="16"/>
        <w:szCs w:val="16"/>
      </w:rPr>
      <w:t xml:space="preserve">Page </w:t>
    </w:r>
    <w:r>
      <w:rPr>
        <w:color w:val="6B6560"/>
        <w:sz w:val="16"/>
        <w:szCs w:val="16"/>
      </w:rPr>
      <w:fldChar w:fldCharType="begin"/>
      <w:instrText xml:space="preserve">PAGE</w:instrText>
      <w:fldChar w:fldCharType="separate"/>
      <w:fldChar w:fldCharType="end"/>
    </w:r>
    <w:r>
      <w:rPr>
        <w:color w:val="6B6560"/>
        <w:sz w:val="16"/>
        <w:szCs w:val="16"/>
      </w:rPr>
      <w:t xml:space="preserve"> of </w:t>
    </w:r>
    <w:r>
      <w:rPr>
        <w:color w:val="6B6560"/>
        <w:sz w:val="16"/>
        <w:szCs w:val="16"/>
      </w:rPr>
      <w:fldChar w:fldCharType="begin"/>
      <w:instrText xml:space="preserve">NUMPAGES</w:instrText>
      <w:fldChar w:fldCharType="separate"/>
      <w:fldChar w:fldCharType="end"/>
    </w:r>
  </w:p>
  <w:p>
    <w:r>
      <w:rPr>
        <w:color w:val="6B6560"/>
        <w:sz w:val="16"/>
        <w:szCs w:val="16"/>
      </w:rPr>
      <w:t xml:space="preserve">CPCCCM2006 Apply basic levelling procedures is © Commonwealth of Australia, reproduced from training.gov.au under a Creative Commons Attribution-NoDerivatives licence. https://training.gov.au/training/details/CPCCCM2006</w:t>
    </w:r>
  </w:p>
  <w:p>
    <w:r>
      <w:rPr>
        <w:color w:val="6B6560"/>
        <w:sz w:val="16"/>
        <w:szCs w:val="16"/>
      </w:rPr>
      <w:t xml:space="preserve">Learning content and assessment items in this document were drafted with AI assistance and must be reviewed by a qualified assessor before use with students.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D8D4D0" w:sz="4"/>
      </w:pBdr>
      <w:spacing w:after="60"/>
      <w:jc w:val="right"/>
    </w:pPr>
    <w:r>
      <w:rPr>
        <w:color w:val="6B6560"/>
        <w:sz w:val="16"/>
        <w:szCs w:val="16"/>
      </w:rPr>
      <w:t xml:space="preserve">Assessment validation record · CPCCCM2006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2026-08-30T08:30:28.973Z</dcterms:created>
  <dcterms:modified xsi:type="dcterms:W3CDTF">2026-08-30T08:30:28.973Z</dcterms:modified>
</cp:coreProperties>
</file>

<file path=docProps/custom.xml><?xml version="1.0" encoding="utf-8"?>
<Properties xmlns="http://schemas.openxmlformats.org/officeDocument/2006/custom-properties" xmlns:vt="http://schemas.openxmlformats.org/officeDocument/2006/docPropsVTypes"/>
</file>